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155B" w14:textId="7BD82146" w:rsidR="0095682B" w:rsidRPr="0095682B" w:rsidRDefault="0095682B" w:rsidP="0095682B">
      <w:r w:rsidRPr="0095682B">
        <w:t>To retired teachers in Quebec</w:t>
      </w:r>
      <w:r w:rsidR="00D351F7">
        <w:t xml:space="preserve">                                                                                                       August 9</w:t>
      </w:r>
      <w:r w:rsidR="00D351F7" w:rsidRPr="00D351F7">
        <w:rPr>
          <w:vertAlign w:val="superscript"/>
        </w:rPr>
        <w:t>th</w:t>
      </w:r>
      <w:r w:rsidR="00D351F7">
        <w:t>, 2024.</w:t>
      </w:r>
    </w:p>
    <w:p w14:paraId="6A17009A" w14:textId="77777777" w:rsidR="0095682B" w:rsidRPr="0095682B" w:rsidRDefault="0095682B" w:rsidP="0095682B"/>
    <w:p w14:paraId="158E9183" w14:textId="629B3174" w:rsidR="0095682B" w:rsidRPr="0095682B" w:rsidRDefault="0095682B" w:rsidP="0095682B">
      <w:r w:rsidRPr="0095682B">
        <w:t>Ladies and Gentlemen,</w:t>
      </w:r>
    </w:p>
    <w:p w14:paraId="1ED67E72" w14:textId="39CB27BD" w:rsidR="0095682B" w:rsidRPr="0095682B" w:rsidRDefault="0095682B" w:rsidP="0095682B">
      <w:r w:rsidRPr="0095682B">
        <w:t>Last June, I invited you to express your interest in coming to lend a hand in schools as well as in adult education and vocational training centers during the 2024-2025 school year. Last year, more than 5,500 of you answered the call. I thank you on behalf of all our students.</w:t>
      </w:r>
    </w:p>
    <w:p w14:paraId="76CE9397" w14:textId="3AE8C586" w:rsidR="0095682B" w:rsidRPr="0095682B" w:rsidRDefault="0095682B" w:rsidP="0095682B">
      <w:r w:rsidRPr="0095682B">
        <w:t xml:space="preserve">I hereby inform you that the financial incentives for retirees who return to teach have recently been renewed and that certain modifications have been made to them. As a result, the incentive remuneration can now reach $564 per day worked. </w:t>
      </w:r>
      <w:r w:rsidRPr="0095682B">
        <w:rPr>
          <w:lang w:val="fr-CA"/>
        </w:rPr>
        <w:t xml:space="preserve">This </w:t>
      </w:r>
      <w:proofErr w:type="spellStart"/>
      <w:r w:rsidRPr="0095682B">
        <w:rPr>
          <w:lang w:val="fr-CA"/>
        </w:rPr>
        <w:t>renewal</w:t>
      </w:r>
      <w:proofErr w:type="spellEnd"/>
      <w:r w:rsidRPr="0095682B">
        <w:rPr>
          <w:lang w:val="fr-CA"/>
        </w:rPr>
        <w:t xml:space="preserve"> </w:t>
      </w:r>
      <w:proofErr w:type="spellStart"/>
      <w:r w:rsidRPr="0095682B">
        <w:rPr>
          <w:lang w:val="fr-CA"/>
        </w:rPr>
        <w:t>is</w:t>
      </w:r>
      <w:proofErr w:type="spellEnd"/>
      <w:r w:rsidRPr="0095682B">
        <w:rPr>
          <w:lang w:val="fr-CA"/>
        </w:rPr>
        <w:t xml:space="preserve"> part of an agreement </w:t>
      </w:r>
      <w:proofErr w:type="spellStart"/>
      <w:r w:rsidRPr="0095682B">
        <w:rPr>
          <w:lang w:val="fr-CA"/>
        </w:rPr>
        <w:t>with</w:t>
      </w:r>
      <w:proofErr w:type="spellEnd"/>
      <w:r w:rsidRPr="0095682B">
        <w:rPr>
          <w:lang w:val="fr-CA"/>
        </w:rPr>
        <w:t xml:space="preserve"> the Fédération des syndicats de l’enseignement (FSE-CSQ) and the Association provinciale des enseignantes et enseignants du Québec (APEQ). </w:t>
      </w:r>
      <w:r w:rsidRPr="0095682B">
        <w:t xml:space="preserve">To date, similar discussions are underway with the Fédération </w:t>
      </w:r>
      <w:proofErr w:type="spellStart"/>
      <w:r w:rsidRPr="0095682B">
        <w:t>autonome</w:t>
      </w:r>
      <w:proofErr w:type="spellEnd"/>
      <w:r w:rsidRPr="0095682B">
        <w:t xml:space="preserve"> de </w:t>
      </w:r>
      <w:proofErr w:type="spellStart"/>
      <w:r w:rsidRPr="0095682B">
        <w:t>l’enseignement</w:t>
      </w:r>
      <w:proofErr w:type="spellEnd"/>
      <w:r w:rsidRPr="0095682B">
        <w:t xml:space="preserve"> (FAE). Therefore, depending on your situation and your eligibility, you could benefit from these financial incentives.</w:t>
      </w:r>
    </w:p>
    <w:p w14:paraId="34AE0684" w14:textId="4D149D57" w:rsidR="0095682B" w:rsidRPr="0095682B" w:rsidRDefault="0095682B" w:rsidP="0095682B">
      <w:pPr>
        <w:rPr>
          <w:b/>
          <w:bCs/>
        </w:rPr>
      </w:pPr>
      <w:r w:rsidRPr="0095682B">
        <w:rPr>
          <w:b/>
          <w:bCs/>
        </w:rPr>
        <w:t>Substitution</w:t>
      </w:r>
    </w:p>
    <w:p w14:paraId="1D3C0498" w14:textId="1D4A8F93" w:rsidR="0095682B" w:rsidRPr="0095682B" w:rsidRDefault="0095682B" w:rsidP="0095682B">
      <w:r w:rsidRPr="0095682B">
        <w:t>From your first day as a substitute, you will be paid at the single salary scale rate, i.e. at the level corresponding to your experience and education, rather than the usual occasional substitute rate. This remuneration is supplemented by a 7.5% bonus.</w:t>
      </w:r>
    </w:p>
    <w:p w14:paraId="7E8402EE" w14:textId="49FE126D" w:rsidR="0095682B" w:rsidRPr="0095682B" w:rsidRDefault="0095682B" w:rsidP="0095682B">
      <w:pPr>
        <w:rPr>
          <w:b/>
          <w:bCs/>
        </w:rPr>
      </w:pPr>
      <w:r w:rsidRPr="0095682B">
        <w:rPr>
          <w:b/>
          <w:bCs/>
        </w:rPr>
        <w:t>Contract support (new)</w:t>
      </w:r>
    </w:p>
    <w:p w14:paraId="7DEAA29B" w14:textId="411D2739" w:rsidR="0095682B" w:rsidRDefault="0095682B" w:rsidP="00D351F7">
      <w:pPr>
        <w:spacing w:after="0"/>
      </w:pPr>
      <w:r w:rsidRPr="0095682B">
        <w:t xml:space="preserve">While being paid at the rate of the single salary scale, i.e. at the level corresponding to your experience and education, you will benefit from a bonus of 12.5% </w:t>
      </w:r>
      <w:r w:rsidRPr="0095682B">
        <w:rPr>
          <w:rFonts w:ascii="Arial" w:hAnsi="Arial" w:cs="Arial"/>
        </w:rPr>
        <w:t>​​</w:t>
      </w:r>
      <w:r w:rsidRPr="0095682B">
        <w:t xml:space="preserve">if you accept to take on a contract of a </w:t>
      </w:r>
      <w:r w:rsidRPr="0095682B">
        <w:rPr>
          <w:u w:val="single"/>
        </w:rPr>
        <w:t>minimum duration of 3 months</w:t>
      </w:r>
      <w:r w:rsidRPr="0095682B">
        <w:t>.</w:t>
      </w:r>
    </w:p>
    <w:p w14:paraId="33351BE1" w14:textId="77777777" w:rsidR="00D351F7" w:rsidRPr="0095682B" w:rsidRDefault="00D351F7" w:rsidP="00D351F7">
      <w:pPr>
        <w:spacing w:after="0"/>
      </w:pPr>
    </w:p>
    <w:p w14:paraId="519A292F" w14:textId="77777777" w:rsidR="00D351F7" w:rsidRDefault="0095682B" w:rsidP="00D351F7">
      <w:pPr>
        <w:spacing w:after="0"/>
      </w:pPr>
      <w:r w:rsidRPr="0095682B">
        <w:t>Please note that these incentives will not result in any penalties or impact on your</w:t>
      </w:r>
    </w:p>
    <w:p w14:paraId="53E5C293" w14:textId="18CB7D7F" w:rsidR="0095682B" w:rsidRPr="0095682B" w:rsidRDefault="0095682B" w:rsidP="00D351F7">
      <w:pPr>
        <w:spacing w:after="0"/>
      </w:pPr>
      <w:r w:rsidRPr="0095682B">
        <w:t>RREGOP benefits. Thus, you will continue to receive your retirement pension in full, in addition to</w:t>
      </w:r>
    </w:p>
    <w:p w14:paraId="630EDC73" w14:textId="77777777" w:rsidR="0095682B" w:rsidRPr="0095682B" w:rsidRDefault="0095682B" w:rsidP="00D351F7">
      <w:pPr>
        <w:spacing w:after="0"/>
      </w:pPr>
      <w:r w:rsidRPr="0095682B">
        <w:t>to receive compensation for your work. For more information, see</w:t>
      </w:r>
    </w:p>
    <w:p w14:paraId="538B2AED" w14:textId="77777777" w:rsidR="0095682B" w:rsidRPr="0095682B" w:rsidRDefault="0095682B" w:rsidP="00D351F7">
      <w:pPr>
        <w:spacing w:after="0"/>
      </w:pPr>
      <w:r w:rsidRPr="0095682B">
        <w:t>the attached annex.</w:t>
      </w:r>
    </w:p>
    <w:p w14:paraId="1CFAA662" w14:textId="77777777" w:rsidR="0095682B" w:rsidRPr="0095682B" w:rsidRDefault="0095682B" w:rsidP="0095682B"/>
    <w:p w14:paraId="3650C026" w14:textId="173AEA0B" w:rsidR="0095682B" w:rsidRPr="0095682B" w:rsidRDefault="0095682B" w:rsidP="0095682B">
      <w:r w:rsidRPr="0095682B">
        <w:t>You would like to take advantage of these incentives and come and make a difference to students through you</w:t>
      </w:r>
      <w:r w:rsidR="00D351F7">
        <w:t xml:space="preserve">r </w:t>
      </w:r>
      <w:r w:rsidRPr="0095682B">
        <w:t>experience? I invite you to submit your application directly to the educational organization</w:t>
      </w:r>
      <w:r w:rsidR="00D351F7">
        <w:t xml:space="preserve"> </w:t>
      </w:r>
      <w:r w:rsidRPr="0095682B">
        <w:t>that interests you, whether it is to do a substitute, fill a teaching position or perform other tasks. The school organization will analyze your application and follow up on it, if necessary, according to its needs and your profile, throughout the school year. Once again, I sincerely thank you and I hope to be able to count on your valuable contribution.</w:t>
      </w:r>
    </w:p>
    <w:p w14:paraId="67E2C13C" w14:textId="77777777" w:rsidR="00082494" w:rsidRDefault="00082494" w:rsidP="0095682B"/>
    <w:p w14:paraId="311E737B" w14:textId="29A2DC1B" w:rsidR="0095682B" w:rsidRPr="0095682B" w:rsidRDefault="0095682B" w:rsidP="0095682B">
      <w:r w:rsidRPr="0095682B">
        <w:t>Please accept, Ladies and Gentlemen, my distinguished greetings.</w:t>
      </w:r>
    </w:p>
    <w:p w14:paraId="6140ED8C" w14:textId="011C1B4E" w:rsidR="00B23147" w:rsidRDefault="0073187F">
      <w:r>
        <w:t>Bernard Drainville</w:t>
      </w:r>
    </w:p>
    <w:p w14:paraId="1F030EEA" w14:textId="661F83AC" w:rsidR="00082494" w:rsidRDefault="00082494">
      <w:hyperlink r:id="rId4" w:history="1">
        <w:r w:rsidRPr="00082494">
          <w:rPr>
            <w:rStyle w:val="Hyperlink"/>
          </w:rPr>
          <w:t>Link to original document</w:t>
        </w:r>
      </w:hyperlink>
    </w:p>
    <w:p w14:paraId="514D0D03" w14:textId="77777777" w:rsidR="00B23147" w:rsidRPr="00B23147" w:rsidRDefault="00B23147" w:rsidP="00B23147">
      <w:pPr>
        <w:rPr>
          <w:b/>
          <w:bCs/>
        </w:rPr>
      </w:pPr>
      <w:r w:rsidRPr="00B23147">
        <w:rPr>
          <w:b/>
          <w:bCs/>
        </w:rPr>
        <w:lastRenderedPageBreak/>
        <w:t>Appendix</w:t>
      </w:r>
    </w:p>
    <w:p w14:paraId="13F91046" w14:textId="77777777" w:rsidR="00B23147" w:rsidRPr="00B23147" w:rsidRDefault="00B23147" w:rsidP="00B23147"/>
    <w:p w14:paraId="65B477F3" w14:textId="1DB35923" w:rsidR="00B23147" w:rsidRPr="00B23147" w:rsidRDefault="00B23147" w:rsidP="00B23147">
      <w:r w:rsidRPr="00B23147">
        <w:t>The conditions for obtaining the financial incentives are as follows:</w:t>
      </w:r>
    </w:p>
    <w:p w14:paraId="2BFD2F2D" w14:textId="43B09845" w:rsidR="00B23147" w:rsidRPr="00B23147" w:rsidRDefault="00B23147" w:rsidP="00B23147">
      <w:r w:rsidRPr="00B23147">
        <w:t>Be a person retired from the education network, regardless of the date of retirement and regardless of the province or country of practice at the time of retirement; Hold a teaching permit,</w:t>
      </w:r>
    </w:p>
    <w:p w14:paraId="5C6DCE14" w14:textId="7259D281" w:rsidR="00B23147" w:rsidRPr="00B23147" w:rsidRDefault="00B23147" w:rsidP="00B23147">
      <w:r w:rsidRPr="00B23147">
        <w:t xml:space="preserve">Return to work to provide preschool education, primary or secondary education or adult education or vocational training in the targeted school service </w:t>
      </w:r>
      <w:proofErr w:type="spellStart"/>
      <w:r w:rsidRPr="00B23147">
        <w:t>centres</w:t>
      </w:r>
      <w:proofErr w:type="spellEnd"/>
      <w:r w:rsidRPr="00B23147">
        <w:t xml:space="preserve"> and school boards¹.</w:t>
      </w:r>
    </w:p>
    <w:p w14:paraId="408A32F8" w14:textId="7B00D5A8" w:rsidR="00227E5E" w:rsidRDefault="00B23147" w:rsidP="00B23147">
      <w:r w:rsidRPr="00B23147">
        <w:t>For information purposes, here is a comparative table of remuneration, in 2023-2024 and 2024-2025, for a day of work performed by retired teaching staff whose salary would be at the maximum of the salary scale:</w:t>
      </w:r>
    </w:p>
    <w:p w14:paraId="677B9B0D" w14:textId="77777777" w:rsidR="00227E5E" w:rsidRDefault="00227E5E" w:rsidP="00B23147"/>
    <w:tbl>
      <w:tblPr>
        <w:tblStyle w:val="TableGrid"/>
        <w:tblW w:w="0" w:type="auto"/>
        <w:tblLook w:val="04A0" w:firstRow="1" w:lastRow="0" w:firstColumn="1" w:lastColumn="0" w:noHBand="0" w:noVBand="1"/>
      </w:tblPr>
      <w:tblGrid>
        <w:gridCol w:w="2573"/>
        <w:gridCol w:w="2336"/>
        <w:gridCol w:w="2336"/>
        <w:gridCol w:w="2105"/>
      </w:tblGrid>
      <w:tr w:rsidR="00681185" w14:paraId="0172FC3A" w14:textId="3310746D" w:rsidTr="0073187F">
        <w:tc>
          <w:tcPr>
            <w:tcW w:w="2573" w:type="dxa"/>
            <w:tcBorders>
              <w:top w:val="nil"/>
              <w:left w:val="nil"/>
              <w:bottom w:val="nil"/>
            </w:tcBorders>
          </w:tcPr>
          <w:p w14:paraId="73664C28" w14:textId="77777777" w:rsidR="00681185" w:rsidRDefault="00681185" w:rsidP="00B23147"/>
        </w:tc>
        <w:tc>
          <w:tcPr>
            <w:tcW w:w="2336" w:type="dxa"/>
          </w:tcPr>
          <w:p w14:paraId="66C90F29" w14:textId="04AE6C9C" w:rsidR="00681185" w:rsidRPr="00B23147" w:rsidRDefault="00681185" w:rsidP="0073187F">
            <w:pPr>
              <w:spacing w:after="160" w:line="259" w:lineRule="auto"/>
              <w:jc w:val="center"/>
            </w:pPr>
            <w:r w:rsidRPr="00B23147">
              <w:t>School year 2023-2024</w:t>
            </w:r>
          </w:p>
          <w:p w14:paraId="36848BC0" w14:textId="4A578D3B" w:rsidR="00681185" w:rsidRDefault="00681185" w:rsidP="0073187F">
            <w:pPr>
              <w:tabs>
                <w:tab w:val="left" w:pos="1001"/>
              </w:tabs>
              <w:jc w:val="center"/>
            </w:pPr>
          </w:p>
        </w:tc>
        <w:tc>
          <w:tcPr>
            <w:tcW w:w="2336" w:type="dxa"/>
            <w:tcBorders>
              <w:right w:val="nil"/>
            </w:tcBorders>
          </w:tcPr>
          <w:p w14:paraId="3C383AB7" w14:textId="29B94A58" w:rsidR="00681185" w:rsidRPr="00B23147" w:rsidRDefault="00681185" w:rsidP="0073187F">
            <w:pPr>
              <w:spacing w:after="160" w:line="259" w:lineRule="auto"/>
              <w:jc w:val="center"/>
            </w:pPr>
            <w:r w:rsidRPr="00B23147">
              <w:t>School year 2024</w:t>
            </w:r>
            <w:r w:rsidR="0073187F">
              <w:t>-</w:t>
            </w:r>
            <w:r w:rsidRPr="00B23147">
              <w:t>2025</w:t>
            </w:r>
          </w:p>
          <w:p w14:paraId="15F209E9" w14:textId="77777777" w:rsidR="00681185" w:rsidRDefault="00681185" w:rsidP="0073187F">
            <w:pPr>
              <w:jc w:val="center"/>
            </w:pPr>
          </w:p>
        </w:tc>
        <w:tc>
          <w:tcPr>
            <w:tcW w:w="2105" w:type="dxa"/>
            <w:tcBorders>
              <w:left w:val="nil"/>
            </w:tcBorders>
          </w:tcPr>
          <w:p w14:paraId="194F4EA5" w14:textId="77777777" w:rsidR="00681185" w:rsidRPr="00B23147" w:rsidRDefault="00681185" w:rsidP="0073187F"/>
        </w:tc>
      </w:tr>
      <w:tr w:rsidR="00681185" w14:paraId="121444C6" w14:textId="00254FD1" w:rsidTr="00B35CAD">
        <w:tc>
          <w:tcPr>
            <w:tcW w:w="2573" w:type="dxa"/>
            <w:tcBorders>
              <w:top w:val="nil"/>
              <w:left w:val="nil"/>
            </w:tcBorders>
          </w:tcPr>
          <w:p w14:paraId="3342E29C" w14:textId="170F8EE7" w:rsidR="00681185" w:rsidRDefault="00681185" w:rsidP="00227E5E">
            <w:pPr>
              <w:spacing w:after="160" w:line="259" w:lineRule="auto"/>
            </w:pPr>
          </w:p>
        </w:tc>
        <w:tc>
          <w:tcPr>
            <w:tcW w:w="2336" w:type="dxa"/>
          </w:tcPr>
          <w:p w14:paraId="27FC5497" w14:textId="794EFD19" w:rsidR="00681185" w:rsidRDefault="00681185" w:rsidP="00B35CAD">
            <w:pPr>
              <w:spacing w:after="160" w:line="259" w:lineRule="auto"/>
            </w:pPr>
            <w:r w:rsidRPr="00B23147">
              <w:t>Contract support and replacement</w:t>
            </w:r>
          </w:p>
        </w:tc>
        <w:tc>
          <w:tcPr>
            <w:tcW w:w="2336" w:type="dxa"/>
          </w:tcPr>
          <w:p w14:paraId="2F9E15B0" w14:textId="77777777" w:rsidR="00681185" w:rsidRPr="00B23147" w:rsidRDefault="00681185" w:rsidP="00681185">
            <w:pPr>
              <w:spacing w:after="160" w:line="259" w:lineRule="auto"/>
            </w:pPr>
            <w:r w:rsidRPr="00B23147">
              <w:t>Substitution</w:t>
            </w:r>
          </w:p>
          <w:p w14:paraId="1645E2A3" w14:textId="77777777" w:rsidR="00681185" w:rsidRDefault="00681185" w:rsidP="00B23147"/>
        </w:tc>
        <w:tc>
          <w:tcPr>
            <w:tcW w:w="2105" w:type="dxa"/>
          </w:tcPr>
          <w:p w14:paraId="319A8A45" w14:textId="647E59BE" w:rsidR="00996BFA" w:rsidRPr="00B23147" w:rsidRDefault="00996BFA" w:rsidP="00996BFA">
            <w:pPr>
              <w:spacing w:after="160" w:line="259" w:lineRule="auto"/>
            </w:pPr>
            <w:r w:rsidRPr="00B23147">
              <w:t xml:space="preserve">Contract support </w:t>
            </w:r>
          </w:p>
          <w:p w14:paraId="3273A585" w14:textId="77777777" w:rsidR="00681185" w:rsidRDefault="00681185" w:rsidP="00B23147"/>
        </w:tc>
      </w:tr>
      <w:tr w:rsidR="00681185" w14:paraId="48969755" w14:textId="4E6E41AF" w:rsidTr="00681185">
        <w:tc>
          <w:tcPr>
            <w:tcW w:w="2573" w:type="dxa"/>
          </w:tcPr>
          <w:p w14:paraId="4AE9E1C6" w14:textId="77777777" w:rsidR="00681185" w:rsidRPr="00B23147" w:rsidRDefault="00681185" w:rsidP="00227E5E">
            <w:pPr>
              <w:spacing w:after="160" w:line="259" w:lineRule="auto"/>
            </w:pPr>
            <w:r w:rsidRPr="00B23147">
              <w:t>Remuneration at</w:t>
            </w:r>
          </w:p>
          <w:p w14:paraId="2E9F0894" w14:textId="09874911" w:rsidR="00681185" w:rsidRDefault="00681185" w:rsidP="00227E5E">
            <w:r w:rsidRPr="00B23147">
              <w:t>the salary scale at the maximum level²</w:t>
            </w:r>
          </w:p>
        </w:tc>
        <w:tc>
          <w:tcPr>
            <w:tcW w:w="2336" w:type="dxa"/>
          </w:tcPr>
          <w:p w14:paraId="7D143000" w14:textId="77777777" w:rsidR="00827A7F" w:rsidRPr="00B23147" w:rsidRDefault="00827A7F" w:rsidP="00827A7F">
            <w:pPr>
              <w:spacing w:after="160" w:line="259" w:lineRule="auto"/>
            </w:pPr>
            <w:r w:rsidRPr="00B23147">
              <w:t>460 $</w:t>
            </w:r>
          </w:p>
          <w:p w14:paraId="2618F125" w14:textId="77777777" w:rsidR="00681185" w:rsidRDefault="00681185" w:rsidP="00B23147"/>
        </w:tc>
        <w:tc>
          <w:tcPr>
            <w:tcW w:w="2336" w:type="dxa"/>
          </w:tcPr>
          <w:p w14:paraId="1B5CBEA1" w14:textId="77777777" w:rsidR="00827A7F" w:rsidRPr="00B23147" w:rsidRDefault="00827A7F" w:rsidP="00827A7F">
            <w:pPr>
              <w:spacing w:after="160" w:line="259" w:lineRule="auto"/>
            </w:pPr>
            <w:r w:rsidRPr="00B23147">
              <w:t>501 $</w:t>
            </w:r>
          </w:p>
          <w:p w14:paraId="25E7CC55" w14:textId="77777777" w:rsidR="00681185" w:rsidRDefault="00681185" w:rsidP="00B23147"/>
        </w:tc>
        <w:tc>
          <w:tcPr>
            <w:tcW w:w="2105" w:type="dxa"/>
          </w:tcPr>
          <w:p w14:paraId="34231695" w14:textId="77777777" w:rsidR="00827A7F" w:rsidRPr="00B23147" w:rsidRDefault="00827A7F" w:rsidP="00827A7F">
            <w:pPr>
              <w:spacing w:after="160" w:line="259" w:lineRule="auto"/>
            </w:pPr>
            <w:r w:rsidRPr="00B23147">
              <w:t>501 $</w:t>
            </w:r>
          </w:p>
          <w:p w14:paraId="76DAB5CE" w14:textId="77777777" w:rsidR="00681185" w:rsidRDefault="00681185" w:rsidP="00B23147"/>
        </w:tc>
      </w:tr>
      <w:tr w:rsidR="00681185" w14:paraId="38C3F67F" w14:textId="4F1FCC03" w:rsidTr="00681185">
        <w:tc>
          <w:tcPr>
            <w:tcW w:w="2573" w:type="dxa"/>
          </w:tcPr>
          <w:p w14:paraId="54386DC9" w14:textId="447BA454" w:rsidR="00681185" w:rsidRDefault="00681185" w:rsidP="00B23147">
            <w:r w:rsidRPr="00B23147">
              <w:t>Prime</w:t>
            </w:r>
          </w:p>
        </w:tc>
        <w:tc>
          <w:tcPr>
            <w:tcW w:w="2336" w:type="dxa"/>
          </w:tcPr>
          <w:p w14:paraId="46096684" w14:textId="77777777" w:rsidR="00B2447A" w:rsidRDefault="00B2447A" w:rsidP="00B2447A">
            <w:pPr>
              <w:spacing w:after="160" w:line="259" w:lineRule="auto"/>
            </w:pPr>
            <w:r w:rsidRPr="00B23147">
              <w:t xml:space="preserve">Prime RREGOP 7,89% </w:t>
            </w:r>
          </w:p>
          <w:p w14:paraId="59E3BEC6" w14:textId="46730812" w:rsidR="00B2447A" w:rsidRPr="00B23147" w:rsidRDefault="00B2447A" w:rsidP="00B2447A">
            <w:pPr>
              <w:spacing w:after="160" w:line="259" w:lineRule="auto"/>
            </w:pPr>
            <w:r w:rsidRPr="00B23147">
              <w:t>36 $</w:t>
            </w:r>
          </w:p>
          <w:p w14:paraId="13D88858" w14:textId="77777777" w:rsidR="00681185" w:rsidRDefault="00681185" w:rsidP="00B23147"/>
        </w:tc>
        <w:tc>
          <w:tcPr>
            <w:tcW w:w="2336" w:type="dxa"/>
          </w:tcPr>
          <w:p w14:paraId="0E9B951E" w14:textId="77777777" w:rsidR="00B2447A" w:rsidRDefault="00B2447A" w:rsidP="00B2447A">
            <w:pPr>
              <w:spacing w:after="160" w:line="259" w:lineRule="auto"/>
            </w:pPr>
            <w:r w:rsidRPr="00B23147">
              <w:t xml:space="preserve">Replacement premium 7.5% </w:t>
            </w:r>
          </w:p>
          <w:p w14:paraId="56A90443" w14:textId="2643B5A0" w:rsidR="00B2447A" w:rsidRPr="00B23147" w:rsidRDefault="00B2447A" w:rsidP="00B2447A">
            <w:pPr>
              <w:spacing w:after="160" w:line="259" w:lineRule="auto"/>
            </w:pPr>
            <w:r w:rsidRPr="00B23147">
              <w:t>$38</w:t>
            </w:r>
          </w:p>
          <w:p w14:paraId="74F36704" w14:textId="77777777" w:rsidR="00681185" w:rsidRDefault="00681185" w:rsidP="00B23147"/>
        </w:tc>
        <w:tc>
          <w:tcPr>
            <w:tcW w:w="2105" w:type="dxa"/>
          </w:tcPr>
          <w:p w14:paraId="0119805C" w14:textId="77777777" w:rsidR="00B2447A" w:rsidRDefault="00B2447A" w:rsidP="00B2447A">
            <w:pPr>
              <w:spacing w:after="160" w:line="259" w:lineRule="auto"/>
            </w:pPr>
            <w:r w:rsidRPr="00B23147">
              <w:t xml:space="preserve">Bonus for taking charge of a contract with a minimum duration of 3 months 12.5% </w:t>
            </w:r>
          </w:p>
          <w:p w14:paraId="11E26197" w14:textId="0447D8B4" w:rsidR="00681185" w:rsidRDefault="00B2447A" w:rsidP="00B2447A">
            <w:pPr>
              <w:spacing w:after="160" w:line="259" w:lineRule="auto"/>
            </w:pPr>
            <w:r w:rsidRPr="00B23147">
              <w:rPr>
                <w:rFonts w:ascii="Arial" w:hAnsi="Arial" w:cs="Arial"/>
              </w:rPr>
              <w:t>​​</w:t>
            </w:r>
            <w:r w:rsidRPr="00B23147">
              <w:t>$63</w:t>
            </w:r>
          </w:p>
        </w:tc>
      </w:tr>
      <w:tr w:rsidR="00681185" w14:paraId="3824FEE1" w14:textId="72868460" w:rsidTr="00681185">
        <w:tc>
          <w:tcPr>
            <w:tcW w:w="2573" w:type="dxa"/>
          </w:tcPr>
          <w:p w14:paraId="0F70AA76" w14:textId="63CDED43" w:rsidR="00681185" w:rsidRDefault="00681185" w:rsidP="00227E5E">
            <w:pPr>
              <w:spacing w:after="160" w:line="259" w:lineRule="auto"/>
            </w:pPr>
            <w:r w:rsidRPr="00B23147">
              <w:t>TOTAL</w:t>
            </w:r>
          </w:p>
        </w:tc>
        <w:tc>
          <w:tcPr>
            <w:tcW w:w="2336" w:type="dxa"/>
          </w:tcPr>
          <w:p w14:paraId="7048301B" w14:textId="6B3B6F06" w:rsidR="00681185" w:rsidRDefault="00681185" w:rsidP="00B35CAD">
            <w:pPr>
              <w:spacing w:after="160" w:line="259" w:lineRule="auto"/>
            </w:pPr>
            <w:r w:rsidRPr="00B23147">
              <w:t xml:space="preserve">496 </w:t>
            </w:r>
            <w:r w:rsidR="00B35CAD">
              <w:t>$</w:t>
            </w:r>
          </w:p>
        </w:tc>
        <w:tc>
          <w:tcPr>
            <w:tcW w:w="2336" w:type="dxa"/>
          </w:tcPr>
          <w:p w14:paraId="7ECCB196" w14:textId="77777777" w:rsidR="00B2447A" w:rsidRPr="00B23147" w:rsidRDefault="00B2447A" w:rsidP="00B2447A">
            <w:pPr>
              <w:spacing w:after="160" w:line="259" w:lineRule="auto"/>
            </w:pPr>
            <w:r w:rsidRPr="00B23147">
              <w:t>539 $</w:t>
            </w:r>
          </w:p>
          <w:p w14:paraId="1C6A6157" w14:textId="77777777" w:rsidR="00681185" w:rsidRDefault="00681185" w:rsidP="00B23147"/>
        </w:tc>
        <w:tc>
          <w:tcPr>
            <w:tcW w:w="2105" w:type="dxa"/>
          </w:tcPr>
          <w:p w14:paraId="40AFC503" w14:textId="77777777" w:rsidR="00B2447A" w:rsidRPr="00B23147" w:rsidRDefault="00B2447A" w:rsidP="00B2447A">
            <w:pPr>
              <w:spacing w:after="160" w:line="259" w:lineRule="auto"/>
            </w:pPr>
            <w:r w:rsidRPr="00B23147">
              <w:t>564 $</w:t>
            </w:r>
          </w:p>
          <w:p w14:paraId="2D9148D8" w14:textId="77777777" w:rsidR="00681185" w:rsidRDefault="00681185" w:rsidP="00B23147"/>
        </w:tc>
      </w:tr>
    </w:tbl>
    <w:p w14:paraId="7F628131" w14:textId="77777777" w:rsidR="00B2447A" w:rsidRPr="00B23147" w:rsidRDefault="00B2447A" w:rsidP="00B2447A">
      <w:r w:rsidRPr="00B23147">
        <w:t>Note: Some amounts have been rounded.</w:t>
      </w:r>
    </w:p>
    <w:p w14:paraId="029BAE34" w14:textId="77777777" w:rsidR="00B2447A" w:rsidRDefault="00B2447A" w:rsidP="00B2447A">
      <w:r w:rsidRPr="00B23147">
        <w:t xml:space="preserve">Furthermore, it should be noted that the amounts paid resulting from the application of these measures constitute income subject to source deductions and are therefore taxable. You can use a calculation tool to compare your income as a retiree with and without work income by consulting the website of the </w:t>
      </w:r>
      <w:proofErr w:type="spellStart"/>
      <w:r w:rsidRPr="00B23147">
        <w:t>Ministère</w:t>
      </w:r>
      <w:proofErr w:type="spellEnd"/>
      <w:r w:rsidRPr="00B23147">
        <w:t xml:space="preserve"> des Finances </w:t>
      </w:r>
      <w:hyperlink r:id="rId5" w:history="1">
        <w:r w:rsidRPr="00B23147">
          <w:rPr>
            <w:rStyle w:val="Hyperlink"/>
          </w:rPr>
          <w:t>www.budget.finances.gouv.qc.ca/budget/outils/revenu-travail-retraite-fr.asp</w:t>
        </w:r>
      </w:hyperlink>
      <w:r w:rsidRPr="00B23147">
        <w:t>.</w:t>
      </w:r>
    </w:p>
    <w:p w14:paraId="394A442F" w14:textId="77777777" w:rsidR="00B23147" w:rsidRPr="00B23147" w:rsidRDefault="00B23147" w:rsidP="00B23147"/>
    <w:p w14:paraId="6EF36FA1" w14:textId="77777777" w:rsidR="00B23147" w:rsidRPr="00B23147" w:rsidRDefault="00B23147" w:rsidP="00B23147"/>
    <w:sectPr w:rsidR="00B23147" w:rsidRPr="00B23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2B"/>
    <w:rsid w:val="00006113"/>
    <w:rsid w:val="000558E2"/>
    <w:rsid w:val="00082494"/>
    <w:rsid w:val="00223BBC"/>
    <w:rsid w:val="00227E5E"/>
    <w:rsid w:val="004B2613"/>
    <w:rsid w:val="0062116C"/>
    <w:rsid w:val="00681185"/>
    <w:rsid w:val="00686BC2"/>
    <w:rsid w:val="006B56D0"/>
    <w:rsid w:val="006E1E1C"/>
    <w:rsid w:val="0073187F"/>
    <w:rsid w:val="00827A7F"/>
    <w:rsid w:val="0095682B"/>
    <w:rsid w:val="00996BFA"/>
    <w:rsid w:val="00A94729"/>
    <w:rsid w:val="00B23147"/>
    <w:rsid w:val="00B2447A"/>
    <w:rsid w:val="00B35CAD"/>
    <w:rsid w:val="00D30908"/>
    <w:rsid w:val="00D351F7"/>
    <w:rsid w:val="00EB027F"/>
    <w:rsid w:val="00FD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795A"/>
  <w15:chartTrackingRefBased/>
  <w15:docId w15:val="{E2A98AA4-02ED-4381-BA46-DB9E29D9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82B"/>
    <w:rPr>
      <w:rFonts w:eastAsiaTheme="majorEastAsia" w:cstheme="majorBidi"/>
      <w:color w:val="272727" w:themeColor="text1" w:themeTint="D8"/>
    </w:rPr>
  </w:style>
  <w:style w:type="paragraph" w:styleId="Title">
    <w:name w:val="Title"/>
    <w:basedOn w:val="Normal"/>
    <w:next w:val="Normal"/>
    <w:link w:val="TitleChar"/>
    <w:uiPriority w:val="10"/>
    <w:qFormat/>
    <w:rsid w:val="00956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82B"/>
    <w:pPr>
      <w:spacing w:before="160"/>
      <w:jc w:val="center"/>
    </w:pPr>
    <w:rPr>
      <w:i/>
      <w:iCs/>
      <w:color w:val="404040" w:themeColor="text1" w:themeTint="BF"/>
    </w:rPr>
  </w:style>
  <w:style w:type="character" w:customStyle="1" w:styleId="QuoteChar">
    <w:name w:val="Quote Char"/>
    <w:basedOn w:val="DefaultParagraphFont"/>
    <w:link w:val="Quote"/>
    <w:uiPriority w:val="29"/>
    <w:rsid w:val="0095682B"/>
    <w:rPr>
      <w:i/>
      <w:iCs/>
      <w:color w:val="404040" w:themeColor="text1" w:themeTint="BF"/>
    </w:rPr>
  </w:style>
  <w:style w:type="paragraph" w:styleId="ListParagraph">
    <w:name w:val="List Paragraph"/>
    <w:basedOn w:val="Normal"/>
    <w:uiPriority w:val="34"/>
    <w:qFormat/>
    <w:rsid w:val="0095682B"/>
    <w:pPr>
      <w:ind w:left="720"/>
      <w:contextualSpacing/>
    </w:pPr>
  </w:style>
  <w:style w:type="character" w:styleId="IntenseEmphasis">
    <w:name w:val="Intense Emphasis"/>
    <w:basedOn w:val="DefaultParagraphFont"/>
    <w:uiPriority w:val="21"/>
    <w:qFormat/>
    <w:rsid w:val="0095682B"/>
    <w:rPr>
      <w:i/>
      <w:iCs/>
      <w:color w:val="0F4761" w:themeColor="accent1" w:themeShade="BF"/>
    </w:rPr>
  </w:style>
  <w:style w:type="paragraph" w:styleId="IntenseQuote">
    <w:name w:val="Intense Quote"/>
    <w:basedOn w:val="Normal"/>
    <w:next w:val="Normal"/>
    <w:link w:val="IntenseQuoteChar"/>
    <w:uiPriority w:val="30"/>
    <w:qFormat/>
    <w:rsid w:val="00956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82B"/>
    <w:rPr>
      <w:i/>
      <w:iCs/>
      <w:color w:val="0F4761" w:themeColor="accent1" w:themeShade="BF"/>
    </w:rPr>
  </w:style>
  <w:style w:type="character" w:styleId="IntenseReference">
    <w:name w:val="Intense Reference"/>
    <w:basedOn w:val="DefaultParagraphFont"/>
    <w:uiPriority w:val="32"/>
    <w:qFormat/>
    <w:rsid w:val="0095682B"/>
    <w:rPr>
      <w:b/>
      <w:bCs/>
      <w:smallCaps/>
      <w:color w:val="0F4761" w:themeColor="accent1" w:themeShade="BF"/>
      <w:spacing w:val="5"/>
    </w:rPr>
  </w:style>
  <w:style w:type="character" w:styleId="Hyperlink">
    <w:name w:val="Hyperlink"/>
    <w:basedOn w:val="DefaultParagraphFont"/>
    <w:uiPriority w:val="99"/>
    <w:unhideWhenUsed/>
    <w:rsid w:val="00B23147"/>
    <w:rPr>
      <w:color w:val="467886" w:themeColor="hyperlink"/>
      <w:u w:val="single"/>
    </w:rPr>
  </w:style>
  <w:style w:type="character" w:styleId="UnresolvedMention">
    <w:name w:val="Unresolved Mention"/>
    <w:basedOn w:val="DefaultParagraphFont"/>
    <w:uiPriority w:val="99"/>
    <w:semiHidden/>
    <w:unhideWhenUsed/>
    <w:rsid w:val="00B23147"/>
    <w:rPr>
      <w:color w:val="605E5C"/>
      <w:shd w:val="clear" w:color="auto" w:fill="E1DFDD"/>
    </w:rPr>
  </w:style>
  <w:style w:type="table" w:styleId="TableGrid">
    <w:name w:val="Table Grid"/>
    <w:basedOn w:val="TableNormal"/>
    <w:uiPriority w:val="39"/>
    <w:rsid w:val="0022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3692">
      <w:bodyDiv w:val="1"/>
      <w:marLeft w:val="0"/>
      <w:marRight w:val="0"/>
      <w:marTop w:val="0"/>
      <w:marBottom w:val="0"/>
      <w:divBdr>
        <w:top w:val="none" w:sz="0" w:space="0" w:color="auto"/>
        <w:left w:val="none" w:sz="0" w:space="0" w:color="auto"/>
        <w:bottom w:val="none" w:sz="0" w:space="0" w:color="auto"/>
        <w:right w:val="none" w:sz="0" w:space="0" w:color="auto"/>
      </w:divBdr>
    </w:div>
    <w:div w:id="285934393">
      <w:bodyDiv w:val="1"/>
      <w:marLeft w:val="0"/>
      <w:marRight w:val="0"/>
      <w:marTop w:val="0"/>
      <w:marBottom w:val="0"/>
      <w:divBdr>
        <w:top w:val="none" w:sz="0" w:space="0" w:color="auto"/>
        <w:left w:val="none" w:sz="0" w:space="0" w:color="auto"/>
        <w:bottom w:val="none" w:sz="0" w:space="0" w:color="auto"/>
        <w:right w:val="none" w:sz="0" w:space="0" w:color="auto"/>
      </w:divBdr>
    </w:div>
    <w:div w:id="651833358">
      <w:bodyDiv w:val="1"/>
      <w:marLeft w:val="0"/>
      <w:marRight w:val="0"/>
      <w:marTop w:val="0"/>
      <w:marBottom w:val="0"/>
      <w:divBdr>
        <w:top w:val="none" w:sz="0" w:space="0" w:color="auto"/>
        <w:left w:val="none" w:sz="0" w:space="0" w:color="auto"/>
        <w:bottom w:val="none" w:sz="0" w:space="0" w:color="auto"/>
        <w:right w:val="none" w:sz="0" w:space="0" w:color="auto"/>
      </w:divBdr>
    </w:div>
    <w:div w:id="14261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dget.finances.gouv.qc.ca/budget/outils/revenu-travail-retraite-fr.asp" TargetMode="External"/><Relationship Id="rId4" Type="http://schemas.openxmlformats.org/officeDocument/2006/relationships/hyperlink" Target="http://westernquebec.ca/wp-content/uploads/2024/08/Lettre2_M_Retrai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Hall</dc:creator>
  <cp:keywords/>
  <dc:description/>
  <cp:lastModifiedBy>Claudia Loschmann</cp:lastModifiedBy>
  <cp:revision>15</cp:revision>
  <dcterms:created xsi:type="dcterms:W3CDTF">2024-08-15T16:53:00Z</dcterms:created>
  <dcterms:modified xsi:type="dcterms:W3CDTF">2024-08-16T19:22:00Z</dcterms:modified>
</cp:coreProperties>
</file>